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  <w:r>
        <w:rPr>
          <w:rFonts w:hint="eastAsia" w:ascii="方正大标宋简体" w:hAnsi="仿宋" w:eastAsia="方正大标宋简体" w:cs="方正宋一简体"/>
          <w:b/>
          <w:bCs/>
          <w:sz w:val="44"/>
          <w:szCs w:val="44"/>
        </w:rPr>
        <w:t>纪律教育学习宣传月测试题参考答案</w:t>
      </w:r>
    </w:p>
    <w:p>
      <w:pPr>
        <w:spacing w:line="400" w:lineRule="exact"/>
        <w:jc w:val="center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</w:p>
    <w:p>
      <w:pPr>
        <w:numPr>
          <w:ilvl w:val="0"/>
          <w:numId w:val="1"/>
        </w:numPr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填空题（共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5题）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1.习近平新时代中国特色社会主义思想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2.崇廉拒腐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3.巡视工作领导小组办公室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4.重要手段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5.所有行使公权力的公职人员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公务接待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监督　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.底线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９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.压倒性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.党纪处分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一届任期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继承发扬党的优良传统和作风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13.党章  14.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管党治党政治责任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全国人民代表大会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16.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自上而下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17.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党的纪律检查委员会书记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18.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独立董事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19.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责令辞职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20.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党纪处分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人民日益增长的美好生活需要和不平衡不充分的发展之间的矛盾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上级纪委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交流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主要负责人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涉嫌职务犯罪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选择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题（共5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题）</w:t>
      </w:r>
    </w:p>
    <w:p>
      <w:pPr>
        <w:numPr>
          <w:ilvl w:val="0"/>
          <w:numId w:val="3"/>
        </w:num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C  2.A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BCD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3.B  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5.BCD  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7.ABC  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11.B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13.ABCD  14.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15.A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BCD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16.A  17.A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BCD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18.A  19.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20.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22.B  23.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26.ABC  27.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29.ABC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34.D  35.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36.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37.ABCD  38.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39.ABCD  40.C 41.B 42.A  43.AB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D  44.D  45.ABC  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2"/>
        </w:numPr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判断题（共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25题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，正确答案：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“现代化国家”应为“现代化强国”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错误，正确答案：《中国共产党巡视工作条例》规定：巡视组组长根据每次巡视任务确定并授权。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错误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，正确答案：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对公职人员的同一违法行为，监察机关已经给予政务处分的，任免机关、单位不再给予处分；任免机关、单位已经给予处分的，监察机关不再给予政务处分。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错误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答案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省级以上监察机关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批准，应当继续调查并作出结论。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错误，正确答案：《中国共产党纪律处分条例》规定，对违纪后下落不明的党员，下落不明时间超过六个月的，党组织应当按照党章规定对其予以除名。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pStyle w:val="2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line="300" w:lineRule="atLeas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错误，正确答案：在纪律审查中发现党的领导干部严重违纪涉嫌违法犯罪的，应当先作出党纪处分决定，再移送行政机关、司法机关处理。</w:t>
      </w:r>
    </w:p>
    <w:p>
      <w:pPr>
        <w:numPr>
          <w:ilvl w:val="0"/>
          <w:numId w:val="4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，正确答案：《中国共产党纪律处分条例》规定，违纪党员在党组织作出处分决定前死亡，或者在死亡之后发现其曾有严重违纪行为，对于应当给予开除党籍处分的，开除其党籍；对于应当给予留党察看以下（含留党察看）处分的，作出书面结论，不再给予党纪处分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正确。</w:t>
      </w:r>
      <w:bookmarkStart w:id="0" w:name="_GoBack"/>
      <w:bookmarkEnd w:id="0"/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错误，正确答案：《党政领导干部选拔任用工作条例》规定，任职试用期未满，或者提拔任职不满一年的不得破格提拔。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错误，正确答案：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被调查的公职人员在被监察机关立案调查期间，不得交流、出境、辞去公职或者办理退休手续。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4CAD9"/>
    <w:multiLevelType w:val="singleLevel"/>
    <w:tmpl w:val="B1D4CA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742178"/>
    <w:multiLevelType w:val="singleLevel"/>
    <w:tmpl w:val="B77421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404FA0"/>
    <w:multiLevelType w:val="singleLevel"/>
    <w:tmpl w:val="C7404F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0CAA791"/>
    <w:multiLevelType w:val="singleLevel"/>
    <w:tmpl w:val="D0CAA7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83C1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8">
    <w:name w:val="bds_more"/>
    <w:basedOn w:val="3"/>
    <w:uiPriority w:val="0"/>
    <w:rPr>
      <w:rFonts w:hint="eastAsia" w:ascii="宋体" w:hAnsi="宋体" w:eastAsia="宋体" w:cs="宋体"/>
    </w:rPr>
  </w:style>
  <w:style w:type="character" w:customStyle="1" w:styleId="9">
    <w:name w:val="bds_more1"/>
    <w:basedOn w:val="3"/>
    <w:qFormat/>
    <w:uiPriority w:val="0"/>
  </w:style>
  <w:style w:type="character" w:customStyle="1" w:styleId="10">
    <w:name w:val="bds_more2"/>
    <w:basedOn w:val="3"/>
    <w:qFormat/>
    <w:uiPriority w:val="0"/>
  </w:style>
  <w:style w:type="character" w:customStyle="1" w:styleId="11">
    <w:name w:val="bds_nopic"/>
    <w:basedOn w:val="3"/>
    <w:qFormat/>
    <w:uiPriority w:val="0"/>
  </w:style>
  <w:style w:type="character" w:customStyle="1" w:styleId="12">
    <w:name w:val="bds_nopic1"/>
    <w:basedOn w:val="3"/>
    <w:qFormat/>
    <w:uiPriority w:val="0"/>
  </w:style>
  <w:style w:type="character" w:customStyle="1" w:styleId="13">
    <w:name w:val="bds_nopi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2018-07-19T00:32:00Z</dcterms:created>
  <dc:creator>HuangMan</dc:creator>
  <cp:lastModifiedBy>默</cp:lastModifiedBy>
  <cp:lastPrinted>2018-07-24T01:02:00Z</cp:lastPrinted>
  <dcterms:modified xsi:type="dcterms:W3CDTF">2018-07-31T08:02:54Z</dcterms:modified>
  <dc:title>纪律教育学习宣传月测试题参考答案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